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41DA8D32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50003442981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</w:t>
      </w:r>
      <w:r w:rsidR="007765D1" w:rsidRPr="007765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1A33" w:rsidRPr="00CE1A3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E1A33">
        <w:rPr>
          <w:rFonts w:ascii="Times New Roman" w:hAnsi="Times New Roman" w:cs="Times New Roman"/>
          <w:color w:val="000000"/>
          <w:sz w:val="22"/>
          <w:szCs w:val="22"/>
        </w:rPr>
        <w:t xml:space="preserve">с учетом </w:t>
      </w:r>
      <w:r w:rsidR="007765D1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Дополнительного соглашения №1 от </w:t>
      </w:r>
      <w:r w:rsidR="000C3B2C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7765D1">
        <w:rPr>
          <w:rFonts w:ascii="Times New Roman" w:hAnsi="Times New Roman" w:cs="Times New Roman"/>
          <w:color w:val="000000"/>
          <w:sz w:val="22"/>
          <w:szCs w:val="22"/>
        </w:rPr>
        <w:t>.09.2020</w:t>
      </w:r>
      <w:r w:rsidR="00CE1A33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7D2660FD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D5C84">
        <w:rPr>
          <w:rFonts w:ascii="Times New Roman" w:hAnsi="Times New Roman" w:cs="Times New Roman"/>
          <w:sz w:val="22"/>
          <w:szCs w:val="22"/>
        </w:rPr>
        <w:t>1</w:t>
      </w:r>
      <w:r w:rsidR="00CE5EF1" w:rsidRPr="00313A2E">
        <w:rPr>
          <w:rFonts w:ascii="Times New Roman" w:hAnsi="Times New Roman" w:cs="Times New Roman"/>
          <w:sz w:val="22"/>
          <w:szCs w:val="22"/>
        </w:rPr>
        <w:t>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D5C84">
        <w:rPr>
          <w:rFonts w:ascii="Times New Roman" w:hAnsi="Times New Roman" w:cs="Times New Roman"/>
          <w:sz w:val="22"/>
          <w:szCs w:val="22"/>
        </w:rPr>
        <w:t>Сто тысяч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>по продаже недвижимого имущества ПАО Сбербанк</w:t>
      </w:r>
      <w:r w:rsidR="00DF678E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>
        <w:rPr>
          <w:rFonts w:ascii="Times New Roman" w:hAnsi="Times New Roman" w:cs="Times New Roman"/>
          <w:sz w:val="22"/>
          <w:szCs w:val="22"/>
        </w:rPr>
        <w:t xml:space="preserve">в Республике Ингушетия </w:t>
      </w:r>
      <w:r w:rsidR="00215F54" w:rsidRPr="00215F54">
        <w:rPr>
          <w:rFonts w:ascii="Times New Roman" w:hAnsi="Times New Roman" w:cs="Times New Roman"/>
          <w:sz w:val="22"/>
          <w:szCs w:val="22"/>
        </w:rPr>
        <w:t>по Лоту № __,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55B761B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CC54CB">
        <w:rPr>
          <w:rFonts w:ascii="Times New Roman" w:eastAsia="Calibri" w:hAnsi="Times New Roman" w:cs="Times New Roman"/>
          <w:sz w:val="22"/>
          <w:szCs w:val="22"/>
        </w:rPr>
        <w:t>____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г. Ростов-на-Дону,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Кор/счёт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9B5390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64</cp:revision>
  <dcterms:created xsi:type="dcterms:W3CDTF">2020-09-11T11:22:00Z</dcterms:created>
  <dcterms:modified xsi:type="dcterms:W3CDTF">2020-11-06T15:49:00Z</dcterms:modified>
</cp:coreProperties>
</file>