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59924F68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21/01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26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января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619FA14C" w:rsidR="00B25E72" w:rsidRPr="00313A2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313A2E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10081B">
        <w:rPr>
          <w:rFonts w:ascii="Times New Roman" w:hAnsi="Times New Roman" w:cs="Times New Roman"/>
          <w:sz w:val="22"/>
          <w:szCs w:val="22"/>
        </w:rPr>
        <w:t>33 700,00</w:t>
      </w:r>
      <w:r w:rsidR="00B13285" w:rsidRPr="00313A2E">
        <w:rPr>
          <w:rFonts w:ascii="Times New Roman" w:hAnsi="Times New Roman" w:cs="Times New Roman"/>
          <w:sz w:val="22"/>
          <w:szCs w:val="22"/>
        </w:rPr>
        <w:t xml:space="preserve"> (</w:t>
      </w:r>
      <w:r w:rsidR="0010081B">
        <w:rPr>
          <w:rFonts w:ascii="Times New Roman" w:hAnsi="Times New Roman" w:cs="Times New Roman"/>
          <w:sz w:val="22"/>
          <w:szCs w:val="22"/>
        </w:rPr>
        <w:t>Тридцать три тысячи семьсот</w:t>
      </w:r>
      <w:r w:rsidR="00B13285" w:rsidRPr="00313A2E">
        <w:rPr>
          <w:rFonts w:ascii="Times New Roman" w:hAnsi="Times New Roman" w:cs="Times New Roman"/>
          <w:sz w:val="22"/>
          <w:szCs w:val="22"/>
        </w:rPr>
        <w:t>)</w:t>
      </w:r>
      <w:r w:rsidR="00CE5EF1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>руб.</w:t>
      </w:r>
      <w:r w:rsidR="004D5C84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313A2E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443EFE">
        <w:rPr>
          <w:rFonts w:ascii="Times New Roman" w:hAnsi="Times New Roman" w:cs="Times New Roman"/>
          <w:sz w:val="22"/>
          <w:szCs w:val="22"/>
        </w:rPr>
        <w:t xml:space="preserve">принадлежащего ПАО Сбербанк </w:t>
      </w:r>
      <w:r w:rsidR="00215F54">
        <w:rPr>
          <w:rFonts w:ascii="Times New Roman" w:hAnsi="Times New Roman" w:cs="Times New Roman"/>
          <w:sz w:val="22"/>
          <w:szCs w:val="22"/>
        </w:rPr>
        <w:t>недвижимого имущества</w:t>
      </w:r>
      <w:r w:rsidR="00DF678E">
        <w:rPr>
          <w:rFonts w:ascii="Times New Roman" w:hAnsi="Times New Roman" w:cs="Times New Roman"/>
          <w:sz w:val="22"/>
          <w:szCs w:val="22"/>
        </w:rPr>
        <w:t xml:space="preserve">, </w:t>
      </w:r>
      <w:r w:rsidR="00215F54" w:rsidRPr="00215F54">
        <w:rPr>
          <w:rFonts w:ascii="Times New Roman" w:hAnsi="Times New Roman" w:cs="Times New Roman"/>
          <w:sz w:val="22"/>
          <w:szCs w:val="22"/>
        </w:rPr>
        <w:t xml:space="preserve">по Лоту № </w:t>
      </w:r>
      <w:r w:rsidR="004B168C">
        <w:rPr>
          <w:rFonts w:ascii="Times New Roman" w:hAnsi="Times New Roman" w:cs="Times New Roman"/>
          <w:sz w:val="22"/>
          <w:szCs w:val="22"/>
        </w:rPr>
        <w:t>1</w:t>
      </w:r>
      <w:r w:rsidR="00215F54" w:rsidRPr="00215F54">
        <w:rPr>
          <w:rFonts w:ascii="Times New Roman" w:hAnsi="Times New Roman" w:cs="Times New Roman"/>
          <w:sz w:val="22"/>
          <w:szCs w:val="22"/>
        </w:rPr>
        <w:t>, код торгов ______</w:t>
      </w:r>
      <w:r w:rsidR="007C44CC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313A2E">
        <w:rPr>
          <w:rFonts w:ascii="Times New Roman" w:hAnsi="Times New Roman" w:cs="Times New Roman"/>
          <w:sz w:val="22"/>
          <w:szCs w:val="22"/>
        </w:rPr>
        <w:t>,</w:t>
      </w:r>
      <w:r w:rsidR="00215F54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1"/>
          <w:szCs w:val="21"/>
        </w:rPr>
        <w:t>а Организатор торгов принимает Задаток</w:t>
      </w:r>
      <w:r w:rsidR="00B25E72" w:rsidRPr="00313A2E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43FBB893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75F58916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62BE1E85" w:rsidR="00E8045B" w:rsidRPr="00A00379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00379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A00379">
        <w:rPr>
          <w:rFonts w:ascii="Times New Roman" w:hAnsi="Times New Roman" w:cs="Times New Roman"/>
          <w:sz w:val="22"/>
          <w:szCs w:val="22"/>
        </w:rPr>
        <w:t xml:space="preserve"> «</w:t>
      </w:r>
      <w:r w:rsidR="00A00379" w:rsidRPr="00A00379">
        <w:rPr>
          <w:rFonts w:ascii="Times New Roman" w:hAnsi="Times New Roman" w:cs="Times New Roman"/>
          <w:sz w:val="22"/>
          <w:szCs w:val="22"/>
        </w:rPr>
        <w:t>Задаток за участие в торгах по продаже имущества ПАО Сбербанк, код торгов №__, по лоту № 1</w:t>
      </w:r>
      <w:r w:rsidRPr="00A00379">
        <w:rPr>
          <w:rFonts w:ascii="Times New Roman" w:eastAsia="Calibri" w:hAnsi="Times New Roman" w:cs="Times New Roman"/>
          <w:sz w:val="22"/>
          <w:szCs w:val="22"/>
        </w:rPr>
        <w:t>»</w:t>
      </w:r>
      <w:r w:rsidRPr="00A00379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F4850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</w:p>
    <w:p w14:paraId="04682B6B" w14:textId="49E83651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неперечисления</w:t>
      </w:r>
      <w:proofErr w:type="spell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6766140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ПАО Сбербанк, Красноярское отделение №8646 Сибирского банка ПАО Сбербанк</w:t>
            </w:r>
          </w:p>
          <w:p w14:paraId="367DD4C1" w14:textId="6077207D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Местонахождение: Россия, 117997, г. Москва, </w:t>
            </w:r>
            <w:r w:rsidR="001624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Вавилова, д. 19,</w:t>
            </w:r>
          </w:p>
          <w:p w14:paraId="1457B760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660028, г. Красноярск, пр. Свободный, д. 46,</w:t>
            </w:r>
          </w:p>
          <w:p w14:paraId="04228764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Корр</w:t>
            </w:r>
            <w:proofErr w:type="spellEnd"/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/счет № 30101810800000000627 в Отделении по Красноярскому краю в Сибирском ГУ Банка</w:t>
            </w:r>
          </w:p>
          <w:p w14:paraId="71994917" w14:textId="139A5697" w:rsidR="00443EFE" w:rsidRPr="004669E6" w:rsidRDefault="00443EFE" w:rsidP="00443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России, р/с № 47422810131009999998, </w:t>
            </w:r>
            <w:r w:rsidR="00162411" w:rsidRPr="004669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669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БИК 040407627, ИНН 7707083893, </w:t>
            </w:r>
            <w:r w:rsidR="00162411" w:rsidRPr="004669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669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КПП </w:t>
            </w:r>
            <w:r w:rsidR="004669E6" w:rsidRPr="004669E6">
              <w:rPr>
                <w:rFonts w:ascii="Times New Roman" w:hAnsi="Times New Roman" w:cs="Times New Roman"/>
                <w:sz w:val="22"/>
                <w:szCs w:val="22"/>
              </w:rPr>
              <w:t>540602001</w:t>
            </w:r>
            <w:r w:rsidRPr="004669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E01590" w14:textId="605D2D22" w:rsidR="00B25E72" w:rsidRPr="00313A2E" w:rsidRDefault="00B25E72" w:rsidP="00443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Матяш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A00379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081B"/>
    <w:rsid w:val="001030A9"/>
    <w:rsid w:val="0011521F"/>
    <w:rsid w:val="00120BDF"/>
    <w:rsid w:val="0012281A"/>
    <w:rsid w:val="00123E49"/>
    <w:rsid w:val="00131343"/>
    <w:rsid w:val="00136EA5"/>
    <w:rsid w:val="00147C65"/>
    <w:rsid w:val="00162411"/>
    <w:rsid w:val="001721D4"/>
    <w:rsid w:val="00177877"/>
    <w:rsid w:val="0019319C"/>
    <w:rsid w:val="001B391D"/>
    <w:rsid w:val="001B4FE6"/>
    <w:rsid w:val="001B74AE"/>
    <w:rsid w:val="001C148A"/>
    <w:rsid w:val="001C395C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43EFE"/>
    <w:rsid w:val="004526E5"/>
    <w:rsid w:val="00455B77"/>
    <w:rsid w:val="004669E6"/>
    <w:rsid w:val="004670B6"/>
    <w:rsid w:val="004B168C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0379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8</cp:revision>
  <dcterms:created xsi:type="dcterms:W3CDTF">2021-01-15T10:21:00Z</dcterms:created>
  <dcterms:modified xsi:type="dcterms:W3CDTF">2021-05-21T12:38:00Z</dcterms:modified>
</cp:coreProperties>
</file>