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о задатке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Г.Пермь</w:t>
        <w:tab/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____________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_________________, адрес: ______________________________________, в лице ____________________, действующий на основании ______________именуемый  в дальнейшем Претендент с одной стороны и организатор торгов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 Буряк Алексей Олегович ИНН:590310819143, ОГРН:321595800108410, с другой стороны заключили настоящий договор о нижеследующем: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информационным сообщением о проведении электронных торгов с открытой формой представления предложений о цене в форме аукциона, открытого по составу участников по продаже имущества Чистякова Юрия Алексеевича, Претендент вносит, а Организатор торгов принимает задаток на участие в аукционе.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Порядок расчетов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Задаток определен в размере 10 % от начальной цены.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333333"/>
          <w:spacing w:val="0"/>
          <w:position w:val="0"/>
          <w:sz w:val="17"/>
          <w:shd w:fill="EAF1F7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перечисляет сумму задатка получателю -  Чистякову Алексею Юрьевичу, р/с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40817810908450086323 к/с 30101810200000000593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АО "Альфа-БАНК"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БИК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044525593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единовременно платежным поручением. Денежные средства должны поступить на расчетный счет  одновременно с предоставлением заявки.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в платежном поручении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указывает следующее наименование платежа: "Перечисление задатка на участие в электронных торгах  по продаже имущества Чистякова Юрия Алексеевича по договору о задатке 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«__»_______________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Претендент перечисляет, а Организатор торгов принимает задаток, на участие в открытых электронных торгах , указанного в п. 1.1. настоящего договора, согласно условиям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 признания  Претендента Победителем торгов, он  обязан заключить Договор купли-продажи не позднее 5 (Пяти) дней с даты получения победителем торгов проекта договора. Сумма внесенного задатка засчитывается в счет исполнения обязательств по договору купли-продажи.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отказа или уклонения Претендента от заключения договора купли-продажи имущества при признании его победителем аукциона, либо единственным участником в случае признания торгов несостоявшимися или не внесения им платежей в срок, указанный в п.3.2. настоящего договора, сумма внесенного задатка не возвращается.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 на расчетный счет Претендента, указанный в настоящем договоре.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Споры, возникающие в результате действия договора рассматриваются в судебном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Взаимоотношения сторон, не предусмотренные настоящим договором регулируется законодательством Российской Федерации.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Реквизиты и подписи сторон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Организатор торгов: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Индивидуальный предприниматель Буряк Алексей Олегович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ИНН: 590310819143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Юридический адрес компании: 614046, край Пермский, г Пермь, ул Василия Каменского, д. 32а, оф. 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Буряк А.О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Претендент: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Юр. адрес, банковские реквизиты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