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2CA45554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855158" w:rsidRPr="00855158">
        <w:rPr>
          <w:rFonts w:ascii="Times New Roman" w:hAnsi="Times New Roman" w:cs="Times New Roman"/>
          <w:color w:val="000000"/>
          <w:sz w:val="22"/>
          <w:szCs w:val="22"/>
        </w:rPr>
        <w:t>50003673392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835405" w:rsidRPr="0083540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0724AB" w:rsidRPr="000724AB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855158">
        <w:rPr>
          <w:rFonts w:ascii="Times New Roman" w:hAnsi="Times New Roman" w:cs="Times New Roman"/>
          <w:color w:val="000000"/>
          <w:sz w:val="22"/>
          <w:szCs w:val="22"/>
        </w:rPr>
        <w:t>марта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855158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22F092D" w14:textId="4DEF1AC5" w:rsidR="00773DEC" w:rsidRPr="00773DEC" w:rsidRDefault="00E8045B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387F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58387F">
        <w:rPr>
          <w:rFonts w:ascii="Times New Roman" w:hAnsi="Times New Roman" w:cs="Times New Roman"/>
          <w:sz w:val="22"/>
          <w:szCs w:val="22"/>
        </w:rPr>
        <w:t>С</w:t>
      </w:r>
      <w:r w:rsidRPr="0058387F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58387F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58387F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58387F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58387F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8E15CE" w:rsidRPr="008E15CE">
        <w:rPr>
          <w:rFonts w:ascii="Times New Roman" w:eastAsia="TimesNewRomanPSMT" w:hAnsi="Times New Roman" w:cs="Times New Roman"/>
          <w:sz w:val="22"/>
          <w:szCs w:val="22"/>
        </w:rPr>
        <w:t>11 754 820,78</w:t>
      </w:r>
      <w:r w:rsidR="00336702" w:rsidRPr="0058387F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B13285" w:rsidRPr="0058387F">
        <w:rPr>
          <w:rFonts w:ascii="Times New Roman" w:hAnsi="Times New Roman" w:cs="Times New Roman"/>
          <w:sz w:val="22"/>
          <w:szCs w:val="22"/>
        </w:rPr>
        <w:t>(</w:t>
      </w:r>
      <w:r w:rsidR="008E15CE">
        <w:rPr>
          <w:rFonts w:ascii="Times New Roman" w:hAnsi="Times New Roman" w:cs="Times New Roman"/>
          <w:sz w:val="22"/>
          <w:szCs w:val="22"/>
        </w:rPr>
        <w:t>Одиннадцать миллионов семьсот пятьдесят четыре тысячи восемьсот двадцать</w:t>
      </w:r>
      <w:r w:rsidR="00B13285" w:rsidRPr="0058387F">
        <w:rPr>
          <w:rFonts w:ascii="Times New Roman" w:hAnsi="Times New Roman" w:cs="Times New Roman"/>
          <w:sz w:val="22"/>
          <w:szCs w:val="22"/>
        </w:rPr>
        <w:t>)</w:t>
      </w:r>
      <w:r w:rsidR="00CE5EF1" w:rsidRPr="0058387F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58387F">
        <w:rPr>
          <w:rFonts w:ascii="Times New Roman" w:hAnsi="Times New Roman" w:cs="Times New Roman"/>
          <w:sz w:val="22"/>
          <w:szCs w:val="22"/>
        </w:rPr>
        <w:t>руб.</w:t>
      </w:r>
      <w:r w:rsidR="00336702" w:rsidRPr="0058387F">
        <w:rPr>
          <w:rFonts w:ascii="Times New Roman" w:hAnsi="Times New Roman" w:cs="Times New Roman"/>
          <w:sz w:val="22"/>
          <w:szCs w:val="22"/>
        </w:rPr>
        <w:t xml:space="preserve"> 7</w:t>
      </w:r>
      <w:r w:rsidR="008E15CE">
        <w:rPr>
          <w:rFonts w:ascii="Times New Roman" w:hAnsi="Times New Roman" w:cs="Times New Roman"/>
          <w:sz w:val="22"/>
          <w:szCs w:val="22"/>
        </w:rPr>
        <w:t>8</w:t>
      </w:r>
      <w:r w:rsidR="00336702" w:rsidRPr="0058387F">
        <w:rPr>
          <w:rFonts w:ascii="Times New Roman" w:hAnsi="Times New Roman" w:cs="Times New Roman"/>
          <w:sz w:val="22"/>
          <w:szCs w:val="22"/>
        </w:rPr>
        <w:t xml:space="preserve"> коп.</w:t>
      </w:r>
      <w:r w:rsidR="004D5C84" w:rsidRPr="0058387F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58387F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58387F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58387F">
        <w:rPr>
          <w:rFonts w:ascii="Times New Roman" w:hAnsi="Times New Roman" w:cs="Times New Roman"/>
          <w:sz w:val="22"/>
          <w:szCs w:val="22"/>
        </w:rPr>
        <w:t xml:space="preserve">, </w:t>
      </w:r>
      <w:r w:rsidR="00336702" w:rsidRPr="0058387F">
        <w:rPr>
          <w:rFonts w:ascii="Times New Roman" w:hAnsi="Times New Roman" w:cs="Times New Roman"/>
          <w:sz w:val="22"/>
          <w:szCs w:val="22"/>
        </w:rPr>
        <w:t xml:space="preserve">а Организатор торгов принимает Задаток </w:t>
      </w:r>
      <w:r w:rsidRPr="0058387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58387F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58387F">
        <w:rPr>
          <w:rFonts w:ascii="Times New Roman" w:hAnsi="Times New Roman" w:cs="Times New Roman"/>
          <w:sz w:val="22"/>
          <w:szCs w:val="22"/>
        </w:rPr>
        <w:t xml:space="preserve">в </w:t>
      </w:r>
      <w:r w:rsidR="00BC17BC" w:rsidRPr="0058387F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58387F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58387F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58387F">
        <w:rPr>
          <w:rFonts w:ascii="Times New Roman" w:hAnsi="Times New Roman" w:cs="Times New Roman"/>
          <w:sz w:val="22"/>
          <w:szCs w:val="22"/>
        </w:rPr>
        <w:t xml:space="preserve">следующего имущества: </w:t>
      </w:r>
      <w:r w:rsidR="00773DEC" w:rsidRPr="00773DEC">
        <w:rPr>
          <w:rFonts w:ascii="Times New Roman" w:hAnsi="Times New Roman" w:cs="Times New Roman"/>
          <w:sz w:val="22"/>
          <w:szCs w:val="22"/>
        </w:rPr>
        <w:t xml:space="preserve">принадлежащие </w:t>
      </w:r>
      <w:r w:rsidR="002E03A4">
        <w:rPr>
          <w:rFonts w:ascii="Times New Roman" w:hAnsi="Times New Roman" w:cs="Times New Roman"/>
          <w:sz w:val="22"/>
          <w:szCs w:val="22"/>
        </w:rPr>
        <w:t>Банк</w:t>
      </w:r>
      <w:r w:rsidR="003D12DF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773DEC" w:rsidRPr="00773DEC">
        <w:rPr>
          <w:rFonts w:ascii="Times New Roman" w:hAnsi="Times New Roman" w:cs="Times New Roman"/>
          <w:sz w:val="22"/>
          <w:szCs w:val="22"/>
        </w:rPr>
        <w:t xml:space="preserve"> права (требования) в полном объеме, вытекающие из заключенных </w:t>
      </w:r>
      <w:r w:rsidR="003D12DF">
        <w:rPr>
          <w:rFonts w:ascii="Times New Roman" w:hAnsi="Times New Roman" w:cs="Times New Roman"/>
          <w:sz w:val="22"/>
          <w:szCs w:val="22"/>
        </w:rPr>
        <w:t>Банком</w:t>
      </w:r>
      <w:r w:rsidR="00773DEC" w:rsidRPr="00773DEC">
        <w:rPr>
          <w:rFonts w:ascii="Times New Roman" w:hAnsi="Times New Roman" w:cs="Times New Roman"/>
          <w:sz w:val="22"/>
          <w:szCs w:val="22"/>
        </w:rPr>
        <w:t xml:space="preserve"> с ОАО </w:t>
      </w:r>
      <w:proofErr w:type="spellStart"/>
      <w:r w:rsidR="00773DEC"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="00773DEC" w:rsidRPr="00773DEC">
        <w:rPr>
          <w:rFonts w:ascii="Times New Roman" w:hAnsi="Times New Roman" w:cs="Times New Roman"/>
          <w:sz w:val="22"/>
          <w:szCs w:val="22"/>
        </w:rPr>
        <w:t xml:space="preserve"> «Зеленчукский» кредитных договоров об открытии </w:t>
      </w:r>
      <w:proofErr w:type="spellStart"/>
      <w:r w:rsidR="00773DEC" w:rsidRPr="00773DEC">
        <w:rPr>
          <w:rFonts w:ascii="Times New Roman" w:hAnsi="Times New Roman" w:cs="Times New Roman"/>
          <w:sz w:val="22"/>
          <w:szCs w:val="22"/>
        </w:rPr>
        <w:t>невозобновляемой</w:t>
      </w:r>
      <w:proofErr w:type="spellEnd"/>
      <w:r w:rsidR="00773DEC" w:rsidRPr="00773DEC">
        <w:rPr>
          <w:rFonts w:ascii="Times New Roman" w:hAnsi="Times New Roman" w:cs="Times New Roman"/>
          <w:sz w:val="22"/>
          <w:szCs w:val="22"/>
        </w:rPr>
        <w:t xml:space="preserve"> кредитной линии с учетом всех дополнительных соглашений с одновременной уступкой прав (требований) по договорам, заключенным в обеспечение исполнения обязательств </w:t>
      </w:r>
      <w:r w:rsidR="003D12DF" w:rsidRPr="00773DEC">
        <w:rPr>
          <w:rFonts w:ascii="Times New Roman" w:hAnsi="Times New Roman" w:cs="Times New Roman"/>
          <w:sz w:val="22"/>
          <w:szCs w:val="22"/>
        </w:rPr>
        <w:t xml:space="preserve">ОАО </w:t>
      </w:r>
      <w:proofErr w:type="spellStart"/>
      <w:r w:rsidR="003D12DF"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="003D12DF" w:rsidRPr="00773DEC">
        <w:rPr>
          <w:rFonts w:ascii="Times New Roman" w:hAnsi="Times New Roman" w:cs="Times New Roman"/>
          <w:sz w:val="22"/>
          <w:szCs w:val="22"/>
        </w:rPr>
        <w:t xml:space="preserve"> «Зеленчукский» </w:t>
      </w:r>
      <w:r w:rsidR="00773DEC" w:rsidRPr="00773DEC">
        <w:rPr>
          <w:rFonts w:ascii="Times New Roman" w:hAnsi="Times New Roman" w:cs="Times New Roman"/>
          <w:sz w:val="22"/>
          <w:szCs w:val="22"/>
        </w:rPr>
        <w:t xml:space="preserve">по </w:t>
      </w:r>
      <w:r w:rsidR="003D12DF">
        <w:rPr>
          <w:rFonts w:ascii="Times New Roman" w:hAnsi="Times New Roman" w:cs="Times New Roman"/>
          <w:sz w:val="22"/>
          <w:szCs w:val="22"/>
        </w:rPr>
        <w:t>к</w:t>
      </w:r>
      <w:r w:rsidR="00773DEC" w:rsidRPr="00773DEC">
        <w:rPr>
          <w:rFonts w:ascii="Times New Roman" w:hAnsi="Times New Roman" w:cs="Times New Roman"/>
          <w:sz w:val="22"/>
          <w:szCs w:val="22"/>
        </w:rPr>
        <w:t>редитным договорам в полном объеме, согласно перечню:</w:t>
      </w:r>
    </w:p>
    <w:p w14:paraId="317FBD58" w14:textId="6F140F5F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Договор об открытии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невозобновляемой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кредитной линии № 311300048 от 02.10.2013, заключенный 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 со всеми дополнительными соглашениями;</w:t>
      </w:r>
    </w:p>
    <w:p w14:paraId="0C8FA314" w14:textId="77777777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>Обеспечительные договоры:</w:t>
      </w:r>
    </w:p>
    <w:p w14:paraId="7D6FDC07" w14:textId="77777777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поручительства № 311300048/2 от 02.10.2013, заключенный с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Гичкиным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В.И.,</w:t>
      </w:r>
    </w:p>
    <w:p w14:paraId="4758E75D" w14:textId="77777777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ипотеки № 311300048/1 от 02.10.2013, заключенный 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38B0A723" w14:textId="77777777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залога № 311300048/ДЗ1 от 20.02.2019, заключенный 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6C08C713" w14:textId="61158A27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залога ценных бумаг № 311300048/ДЗ2 от 19.06.2020, заключенный </w:t>
      </w:r>
      <w:r>
        <w:rPr>
          <w:rFonts w:ascii="Times New Roman" w:hAnsi="Times New Roman" w:cs="Times New Roman"/>
          <w:sz w:val="22"/>
          <w:szCs w:val="22"/>
        </w:rPr>
        <w:br/>
      </w:r>
      <w:r w:rsidRPr="00773DEC">
        <w:rPr>
          <w:rFonts w:ascii="Times New Roman" w:hAnsi="Times New Roman" w:cs="Times New Roman"/>
          <w:sz w:val="22"/>
          <w:szCs w:val="22"/>
        </w:rPr>
        <w:t xml:space="preserve">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27CA0A2E" w14:textId="1261DF8D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залога № 311400019/8585/020/5 от 01.08.2014, заключенный </w:t>
      </w:r>
      <w:r>
        <w:rPr>
          <w:rFonts w:ascii="Times New Roman" w:hAnsi="Times New Roman" w:cs="Times New Roman"/>
          <w:sz w:val="22"/>
          <w:szCs w:val="22"/>
        </w:rPr>
        <w:br/>
      </w:r>
      <w:r w:rsidRPr="00773DEC">
        <w:rPr>
          <w:rFonts w:ascii="Times New Roman" w:hAnsi="Times New Roman" w:cs="Times New Roman"/>
          <w:sz w:val="22"/>
          <w:szCs w:val="22"/>
        </w:rPr>
        <w:t xml:space="preserve">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0CF55E4E" w14:textId="4FC9CE7B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ипотеки № 8585/2018/0001/ДИ1 от 16.01.2018, заключенный </w:t>
      </w:r>
      <w:r>
        <w:rPr>
          <w:rFonts w:ascii="Times New Roman" w:hAnsi="Times New Roman" w:cs="Times New Roman"/>
          <w:sz w:val="22"/>
          <w:szCs w:val="22"/>
        </w:rPr>
        <w:br/>
      </w:r>
      <w:r w:rsidRPr="00773DEC">
        <w:rPr>
          <w:rFonts w:ascii="Times New Roman" w:hAnsi="Times New Roman" w:cs="Times New Roman"/>
          <w:sz w:val="22"/>
          <w:szCs w:val="22"/>
        </w:rPr>
        <w:t xml:space="preserve">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3C2F96C6" w14:textId="0C032F9C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ипотеки № 8585/2018/0001/ДИ2 от 23.01.2018, заключенный </w:t>
      </w:r>
      <w:r>
        <w:rPr>
          <w:rFonts w:ascii="Times New Roman" w:hAnsi="Times New Roman" w:cs="Times New Roman"/>
          <w:sz w:val="22"/>
          <w:szCs w:val="22"/>
        </w:rPr>
        <w:br/>
      </w:r>
      <w:r w:rsidRPr="00773DEC">
        <w:rPr>
          <w:rFonts w:ascii="Times New Roman" w:hAnsi="Times New Roman" w:cs="Times New Roman"/>
          <w:sz w:val="22"/>
          <w:szCs w:val="22"/>
        </w:rPr>
        <w:t xml:space="preserve">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«Зеленчукский».</w:t>
      </w:r>
    </w:p>
    <w:p w14:paraId="08B80BDD" w14:textId="3367FFBC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Договор об открытии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невозобновляемой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кредитной линии № 311400019/8585/020 от 01.08.2014, заключенный 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 со всеми дополнительными соглашениями;</w:t>
      </w:r>
    </w:p>
    <w:p w14:paraId="17ABE046" w14:textId="77777777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>Обеспечительные договоры:</w:t>
      </w:r>
    </w:p>
    <w:p w14:paraId="37C79FBE" w14:textId="37CA997A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ипотеки № 311300048/1 от 17.10.2013, заключенный 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00480C5A" w14:textId="726EB06A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залога № 311300048/ДЗ1 от 20.02.2019, заключенный 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670E8161" w14:textId="1B72BD35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залога ценных бумаг № 311300048/ДЗ2 от 19.06.2020, заключенный </w:t>
      </w:r>
      <w:r>
        <w:rPr>
          <w:rFonts w:ascii="Times New Roman" w:hAnsi="Times New Roman" w:cs="Times New Roman"/>
          <w:sz w:val="22"/>
          <w:szCs w:val="22"/>
        </w:rPr>
        <w:br/>
      </w:r>
      <w:r w:rsidRPr="00773DEC">
        <w:rPr>
          <w:rFonts w:ascii="Times New Roman" w:hAnsi="Times New Roman" w:cs="Times New Roman"/>
          <w:sz w:val="22"/>
          <w:szCs w:val="22"/>
        </w:rPr>
        <w:t xml:space="preserve">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32865848" w14:textId="1BD166E8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ипотеки № 311400019/8585/020/1 от 01.08.2014, заключенный </w:t>
      </w:r>
      <w:r>
        <w:rPr>
          <w:rFonts w:ascii="Times New Roman" w:hAnsi="Times New Roman" w:cs="Times New Roman"/>
          <w:sz w:val="22"/>
          <w:szCs w:val="22"/>
        </w:rPr>
        <w:br/>
      </w:r>
      <w:r w:rsidRPr="00773DEC">
        <w:rPr>
          <w:rFonts w:ascii="Times New Roman" w:hAnsi="Times New Roman" w:cs="Times New Roman"/>
          <w:sz w:val="22"/>
          <w:szCs w:val="22"/>
        </w:rPr>
        <w:t xml:space="preserve">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66F5958D" w14:textId="4B65A527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ипотеки № 311400019/8585/020/2 от 01.08.2014, заключенный </w:t>
      </w:r>
      <w:r>
        <w:rPr>
          <w:rFonts w:ascii="Times New Roman" w:hAnsi="Times New Roman" w:cs="Times New Roman"/>
          <w:sz w:val="22"/>
          <w:szCs w:val="22"/>
        </w:rPr>
        <w:br/>
      </w:r>
      <w:r w:rsidRPr="00773DEC">
        <w:rPr>
          <w:rFonts w:ascii="Times New Roman" w:hAnsi="Times New Roman" w:cs="Times New Roman"/>
          <w:sz w:val="22"/>
          <w:szCs w:val="22"/>
        </w:rPr>
        <w:lastRenderedPageBreak/>
        <w:t xml:space="preserve">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7677226D" w14:textId="157D9EF7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залога № 311400019/8585/020/3 от 01.08.2014, заключенный </w:t>
      </w:r>
      <w:r>
        <w:rPr>
          <w:rFonts w:ascii="Times New Roman" w:hAnsi="Times New Roman" w:cs="Times New Roman"/>
          <w:sz w:val="22"/>
          <w:szCs w:val="22"/>
        </w:rPr>
        <w:br/>
      </w:r>
      <w:r w:rsidRPr="00773DEC">
        <w:rPr>
          <w:rFonts w:ascii="Times New Roman" w:hAnsi="Times New Roman" w:cs="Times New Roman"/>
          <w:sz w:val="22"/>
          <w:szCs w:val="22"/>
        </w:rPr>
        <w:t xml:space="preserve">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5370B87E" w14:textId="0F481C63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залога № 311400019/8585/020/4 от 01.08.2014, заключенный </w:t>
      </w:r>
      <w:r>
        <w:rPr>
          <w:rFonts w:ascii="Times New Roman" w:hAnsi="Times New Roman" w:cs="Times New Roman"/>
          <w:sz w:val="22"/>
          <w:szCs w:val="22"/>
        </w:rPr>
        <w:br/>
      </w:r>
      <w:r w:rsidRPr="00773DEC">
        <w:rPr>
          <w:rFonts w:ascii="Times New Roman" w:hAnsi="Times New Roman" w:cs="Times New Roman"/>
          <w:sz w:val="22"/>
          <w:szCs w:val="22"/>
        </w:rPr>
        <w:t xml:space="preserve">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26628E38" w14:textId="5C75AD59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залога № 311400019/8585/020/5 от 01.08.2014, заключенный </w:t>
      </w:r>
      <w:r>
        <w:rPr>
          <w:rFonts w:ascii="Times New Roman" w:hAnsi="Times New Roman" w:cs="Times New Roman"/>
          <w:sz w:val="22"/>
          <w:szCs w:val="22"/>
        </w:rPr>
        <w:br/>
      </w:r>
      <w:r w:rsidRPr="00773DEC">
        <w:rPr>
          <w:rFonts w:ascii="Times New Roman" w:hAnsi="Times New Roman" w:cs="Times New Roman"/>
          <w:sz w:val="22"/>
          <w:szCs w:val="22"/>
        </w:rPr>
        <w:t xml:space="preserve">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2DF6C905" w14:textId="77777777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поручительства № 311400019/8585/020/6 от 01.08.2014, заключенный с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Гичкиным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В.И.,</w:t>
      </w:r>
    </w:p>
    <w:p w14:paraId="6F8A9403" w14:textId="29880FB1" w:rsidR="00773DEC" w:rsidRPr="00773DEC" w:rsidRDefault="00773DEC" w:rsidP="00773DEC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 xml:space="preserve">- договор ипотеки № 8585/2018/0001/ДИ1 от 16.01.2018, заключенный </w:t>
      </w:r>
      <w:r>
        <w:rPr>
          <w:rFonts w:ascii="Times New Roman" w:hAnsi="Times New Roman" w:cs="Times New Roman"/>
          <w:sz w:val="22"/>
          <w:szCs w:val="22"/>
        </w:rPr>
        <w:br/>
      </w:r>
      <w:r w:rsidRPr="00773DEC">
        <w:rPr>
          <w:rFonts w:ascii="Times New Roman" w:hAnsi="Times New Roman" w:cs="Times New Roman"/>
          <w:sz w:val="22"/>
          <w:szCs w:val="22"/>
        </w:rPr>
        <w:t xml:space="preserve">с ОАО </w:t>
      </w:r>
      <w:proofErr w:type="spellStart"/>
      <w:r w:rsidRPr="00773DEC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773DEC">
        <w:rPr>
          <w:rFonts w:ascii="Times New Roman" w:hAnsi="Times New Roman" w:cs="Times New Roman"/>
          <w:sz w:val="22"/>
          <w:szCs w:val="22"/>
        </w:rPr>
        <w:t xml:space="preserve"> «Зеленчукский»,</w:t>
      </w:r>
    </w:p>
    <w:p w14:paraId="760D8067" w14:textId="77777777" w:rsidR="003D12DF" w:rsidRPr="003D12DF" w:rsidRDefault="003D12DF" w:rsidP="00C33EB2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12DF">
        <w:rPr>
          <w:rFonts w:ascii="Times New Roman" w:hAnsi="Times New Roman" w:cs="Times New Roman"/>
          <w:sz w:val="22"/>
          <w:szCs w:val="22"/>
        </w:rPr>
        <w:t xml:space="preserve">- договор ипотеки № 8585/2018/0001/ДИ2 от 23.01.2018, заключенный с </w:t>
      </w:r>
      <w:r w:rsidRPr="003D12DF">
        <w:rPr>
          <w:rFonts w:ascii="Times New Roman" w:hAnsi="Times New Roman" w:cs="Times New Roman"/>
          <w:sz w:val="22"/>
          <w:szCs w:val="22"/>
        </w:rPr>
        <w:br/>
        <w:t xml:space="preserve">ОАО </w:t>
      </w:r>
      <w:proofErr w:type="spellStart"/>
      <w:r w:rsidRPr="003D12DF">
        <w:rPr>
          <w:rFonts w:ascii="Times New Roman" w:hAnsi="Times New Roman" w:cs="Times New Roman"/>
          <w:sz w:val="22"/>
          <w:szCs w:val="22"/>
        </w:rPr>
        <w:t>Племрепродуктор</w:t>
      </w:r>
      <w:proofErr w:type="spellEnd"/>
      <w:r w:rsidRPr="003D12DF">
        <w:rPr>
          <w:rFonts w:ascii="Times New Roman" w:hAnsi="Times New Roman" w:cs="Times New Roman"/>
          <w:sz w:val="22"/>
          <w:szCs w:val="22"/>
        </w:rPr>
        <w:t xml:space="preserve"> «Зеленчукский», а также права, вытекающие из вступивших в силу судебных актов: Определения Арбитражного суда Карачаево-Черкесской Республики от 18.02.2021 по делу № А25-2388/2020, в том числе в части взыскания судебных расходов/издержек (государственная пошлина и иные) в рамках взыскания уступаемой задолженности, и права (требования), которые возникнут в будущем на уплаченные издержки/расходы (государственная пошлина и иные) при рассмотрении требований, вытекающих из уступаемых прав (требований).</w:t>
      </w:r>
    </w:p>
    <w:p w14:paraId="2D8C9E1A" w14:textId="2D402AF5" w:rsidR="00773DEC" w:rsidRPr="00D765CB" w:rsidRDefault="00773DEC" w:rsidP="00C33EB2">
      <w:pPr>
        <w:ind w:right="-57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3DEC">
        <w:rPr>
          <w:rFonts w:ascii="Times New Roman" w:hAnsi="Times New Roman" w:cs="Times New Roman"/>
          <w:sz w:val="22"/>
          <w:szCs w:val="22"/>
        </w:rPr>
        <w:t>Общая сумма уступаемых прав (требований) определяется исходя из суммы обязательств по кредитным договорам (основной долг, процентные платежи, платы, судебные издержки и пр.) и составляет всего 117 548 207,82 руб</w:t>
      </w:r>
      <w:r w:rsidR="00C33EB2">
        <w:rPr>
          <w:rFonts w:ascii="Times New Roman" w:hAnsi="Times New Roman" w:cs="Times New Roman"/>
          <w:sz w:val="22"/>
          <w:szCs w:val="22"/>
        </w:rPr>
        <w:t xml:space="preserve">. </w:t>
      </w:r>
      <w:r w:rsidRPr="00773DEC">
        <w:rPr>
          <w:rFonts w:ascii="Times New Roman" w:hAnsi="Times New Roman" w:cs="Times New Roman"/>
          <w:sz w:val="22"/>
          <w:szCs w:val="22"/>
        </w:rPr>
        <w:t xml:space="preserve">Окончательная сумма уступаемой задолженности будет определена на дату заключения договора </w:t>
      </w:r>
      <w:r w:rsidR="00D765CB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D765CB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D765CB">
        <w:rPr>
          <w:rFonts w:ascii="Times New Roman" w:hAnsi="Times New Roman" w:cs="Times New Roman"/>
          <w:sz w:val="22"/>
          <w:szCs w:val="22"/>
        </w:rPr>
        <w:t>торгов</w:t>
      </w:r>
      <w:r w:rsidR="00D765C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4D33E8A" w14:textId="058C3846" w:rsidR="00E8045B" w:rsidRPr="00313A2E" w:rsidRDefault="00E8045B" w:rsidP="00C33EB2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2BB2D12A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8387F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1E990149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bookmarkStart w:id="0" w:name="_Hlk67067724"/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58387F">
        <w:rPr>
          <w:rFonts w:ascii="Times New Roman" w:eastAsia="Calibri" w:hAnsi="Times New Roman" w:cs="Times New Roman"/>
          <w:sz w:val="22"/>
          <w:szCs w:val="22"/>
        </w:rPr>
        <w:t xml:space="preserve">1,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bookmarkEnd w:id="0"/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ED301AB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2FF3E72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>расчетный счет, 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314CB418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32BC2D65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неперечисления</w:t>
      </w:r>
      <w:proofErr w:type="spellEnd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, денежных средств по заключенному договору</w:t>
      </w:r>
      <w:r w:rsidR="00583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313CA560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336702">
        <w:tc>
          <w:tcPr>
            <w:tcW w:w="5176" w:type="dxa"/>
          </w:tcPr>
          <w:p w14:paraId="7178DA04" w14:textId="77777777" w:rsidR="00E8045B" w:rsidRPr="00313A2E" w:rsidRDefault="00887CA6" w:rsidP="003367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14005E56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Адрес для направления письменной корреспонденции:</w:t>
            </w:r>
          </w:p>
          <w:p w14:paraId="6D2FC3D5" w14:textId="2A50FE2B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Юго-Западный банк ПАО Сбербанк 344068, </w:t>
            </w:r>
            <w:r w:rsidR="00600B6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</w:t>
            </w:r>
            <w:proofErr w:type="spell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Ростов</w:t>
            </w:r>
            <w:proofErr w:type="spell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-на-Дону, ул. Евдокимова, д. 37</w:t>
            </w:r>
          </w:p>
          <w:p w14:paraId="5C78C43A" w14:textId="51F581EE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Тел.: 8(800)707-00-70 </w:t>
            </w:r>
          </w:p>
          <w:p w14:paraId="200CDD08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ИНН 7707083893</w:t>
            </w:r>
          </w:p>
          <w:p w14:paraId="28884E54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КПП 616143001</w:t>
            </w:r>
          </w:p>
          <w:p w14:paraId="1031BEDD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БИК 046015602</w:t>
            </w:r>
          </w:p>
          <w:p w14:paraId="5F73EFA9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ОГРН 1027700132195</w:t>
            </w:r>
          </w:p>
          <w:p w14:paraId="7DBE1C41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ОКПО 09246903</w:t>
            </w:r>
          </w:p>
          <w:p w14:paraId="014EDF1B" w14:textId="0E03489C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Кор/счёт</w:t>
            </w:r>
            <w:proofErr w:type="gram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Банка: № 30101810600000000602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В Отделении по Ростовской области Южного</w:t>
            </w:r>
          </w:p>
          <w:p w14:paraId="14C87FEB" w14:textId="49D1BB17" w:rsidR="00B25E72" w:rsidRPr="00313A2E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ГУ Банка России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Матяш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336702">
        <w:tc>
          <w:tcPr>
            <w:tcW w:w="5176" w:type="dxa"/>
          </w:tcPr>
          <w:p w14:paraId="11D17E74" w14:textId="77777777" w:rsidR="00E8045B" w:rsidRPr="00C36A97" w:rsidRDefault="00E8045B" w:rsidP="0033670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336702" w:rsidRDefault="00336702"/>
    <w:sectPr w:rsidR="00336702" w:rsidSect="003367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C536D" w14:textId="77777777" w:rsidR="0072356E" w:rsidRDefault="0072356E" w:rsidP="002A101A">
      <w:r>
        <w:separator/>
      </w:r>
    </w:p>
  </w:endnote>
  <w:endnote w:type="continuationSeparator" w:id="0">
    <w:p w14:paraId="1370DB77" w14:textId="77777777" w:rsidR="0072356E" w:rsidRDefault="0072356E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336702" w:rsidRDefault="00336702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336702" w:rsidRDefault="00336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A756" w14:textId="77777777" w:rsidR="0072356E" w:rsidRDefault="0072356E" w:rsidP="002A101A">
      <w:r>
        <w:separator/>
      </w:r>
    </w:p>
  </w:footnote>
  <w:footnote w:type="continuationSeparator" w:id="0">
    <w:p w14:paraId="6E02C8D1" w14:textId="77777777" w:rsidR="0072356E" w:rsidRDefault="0072356E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724AB"/>
    <w:rsid w:val="000960A7"/>
    <w:rsid w:val="000B0AE9"/>
    <w:rsid w:val="000C3416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36317"/>
    <w:rsid w:val="002442E9"/>
    <w:rsid w:val="00290314"/>
    <w:rsid w:val="00292150"/>
    <w:rsid w:val="002A101A"/>
    <w:rsid w:val="002B082C"/>
    <w:rsid w:val="002E03A4"/>
    <w:rsid w:val="002E44C5"/>
    <w:rsid w:val="002F51EA"/>
    <w:rsid w:val="002F6579"/>
    <w:rsid w:val="00303190"/>
    <w:rsid w:val="00311870"/>
    <w:rsid w:val="00313A2E"/>
    <w:rsid w:val="00333226"/>
    <w:rsid w:val="00333A08"/>
    <w:rsid w:val="00336702"/>
    <w:rsid w:val="00356C7F"/>
    <w:rsid w:val="00362A77"/>
    <w:rsid w:val="00364530"/>
    <w:rsid w:val="00370F48"/>
    <w:rsid w:val="003D12DF"/>
    <w:rsid w:val="003E79F4"/>
    <w:rsid w:val="004262E4"/>
    <w:rsid w:val="00426863"/>
    <w:rsid w:val="00436004"/>
    <w:rsid w:val="00444344"/>
    <w:rsid w:val="004526E5"/>
    <w:rsid w:val="00455B77"/>
    <w:rsid w:val="004670B6"/>
    <w:rsid w:val="004B2CE7"/>
    <w:rsid w:val="004B5245"/>
    <w:rsid w:val="004C32DF"/>
    <w:rsid w:val="004C3BB4"/>
    <w:rsid w:val="004C709F"/>
    <w:rsid w:val="004D1753"/>
    <w:rsid w:val="004D5C84"/>
    <w:rsid w:val="004E0F70"/>
    <w:rsid w:val="005025F0"/>
    <w:rsid w:val="005123D0"/>
    <w:rsid w:val="00565149"/>
    <w:rsid w:val="00571294"/>
    <w:rsid w:val="0058387F"/>
    <w:rsid w:val="0058794C"/>
    <w:rsid w:val="005A1589"/>
    <w:rsid w:val="005F3E83"/>
    <w:rsid w:val="005F4722"/>
    <w:rsid w:val="00600B64"/>
    <w:rsid w:val="006076B1"/>
    <w:rsid w:val="00642F46"/>
    <w:rsid w:val="00672C4F"/>
    <w:rsid w:val="00691BE1"/>
    <w:rsid w:val="00694A26"/>
    <w:rsid w:val="006A2301"/>
    <w:rsid w:val="006A4971"/>
    <w:rsid w:val="006A62E8"/>
    <w:rsid w:val="006B13AE"/>
    <w:rsid w:val="006E7F10"/>
    <w:rsid w:val="006F2607"/>
    <w:rsid w:val="00707E12"/>
    <w:rsid w:val="0072356E"/>
    <w:rsid w:val="0072435A"/>
    <w:rsid w:val="00741379"/>
    <w:rsid w:val="00773DEC"/>
    <w:rsid w:val="00795299"/>
    <w:rsid w:val="007A0325"/>
    <w:rsid w:val="007A3914"/>
    <w:rsid w:val="007C44CC"/>
    <w:rsid w:val="007D1476"/>
    <w:rsid w:val="007D2654"/>
    <w:rsid w:val="007E01D9"/>
    <w:rsid w:val="007F2587"/>
    <w:rsid w:val="0080649F"/>
    <w:rsid w:val="00835405"/>
    <w:rsid w:val="0084095D"/>
    <w:rsid w:val="008421A6"/>
    <w:rsid w:val="00850DD3"/>
    <w:rsid w:val="00851B82"/>
    <w:rsid w:val="00855158"/>
    <w:rsid w:val="00884B36"/>
    <w:rsid w:val="00887CA6"/>
    <w:rsid w:val="008A2DFE"/>
    <w:rsid w:val="008A6DE4"/>
    <w:rsid w:val="008C3172"/>
    <w:rsid w:val="008D286F"/>
    <w:rsid w:val="008E01A8"/>
    <w:rsid w:val="008E15CE"/>
    <w:rsid w:val="00901F53"/>
    <w:rsid w:val="0090278D"/>
    <w:rsid w:val="00930BF0"/>
    <w:rsid w:val="00933BD8"/>
    <w:rsid w:val="00992DA6"/>
    <w:rsid w:val="00996259"/>
    <w:rsid w:val="009D21E9"/>
    <w:rsid w:val="00A02D93"/>
    <w:rsid w:val="00A80587"/>
    <w:rsid w:val="00A82B19"/>
    <w:rsid w:val="00A841A8"/>
    <w:rsid w:val="00AD5CA6"/>
    <w:rsid w:val="00B1211F"/>
    <w:rsid w:val="00B13285"/>
    <w:rsid w:val="00B25E72"/>
    <w:rsid w:val="00B76187"/>
    <w:rsid w:val="00B93E85"/>
    <w:rsid w:val="00B97434"/>
    <w:rsid w:val="00BA3D54"/>
    <w:rsid w:val="00BB43C5"/>
    <w:rsid w:val="00BC17BC"/>
    <w:rsid w:val="00BD6880"/>
    <w:rsid w:val="00BE2C8A"/>
    <w:rsid w:val="00C02C1C"/>
    <w:rsid w:val="00C300D3"/>
    <w:rsid w:val="00C33EB2"/>
    <w:rsid w:val="00C37E09"/>
    <w:rsid w:val="00C41331"/>
    <w:rsid w:val="00C41CAB"/>
    <w:rsid w:val="00C43E4E"/>
    <w:rsid w:val="00C547BF"/>
    <w:rsid w:val="00C76E47"/>
    <w:rsid w:val="00CC06B2"/>
    <w:rsid w:val="00CC54CB"/>
    <w:rsid w:val="00CE5EF1"/>
    <w:rsid w:val="00CF5AA4"/>
    <w:rsid w:val="00D122F9"/>
    <w:rsid w:val="00D41ACF"/>
    <w:rsid w:val="00D631DC"/>
    <w:rsid w:val="00D765CB"/>
    <w:rsid w:val="00D938AB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852F0"/>
    <w:rsid w:val="00EA0738"/>
    <w:rsid w:val="00ED73E1"/>
    <w:rsid w:val="00EF7D20"/>
    <w:rsid w:val="00F037E3"/>
    <w:rsid w:val="00F0660D"/>
    <w:rsid w:val="00F11C5D"/>
    <w:rsid w:val="00F167F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89</cp:revision>
  <dcterms:created xsi:type="dcterms:W3CDTF">2020-09-11T11:22:00Z</dcterms:created>
  <dcterms:modified xsi:type="dcterms:W3CDTF">2021-03-23T10:00:00Z</dcterms:modified>
</cp:coreProperties>
</file>