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A42D" w14:textId="77777777" w:rsidR="005A6280" w:rsidRDefault="000443F0">
      <w:pPr>
        <w:pStyle w:val="a3"/>
        <w:rPr>
          <w:sz w:val="28"/>
          <w:szCs w:val="28"/>
        </w:rPr>
      </w:pPr>
      <w:r>
        <w:rPr>
          <w:rStyle w:val="a4"/>
          <w:sz w:val="28"/>
          <w:szCs w:val="28"/>
        </w:rPr>
        <w:t xml:space="preserve">РЕШЕНИЕ № </w:t>
      </w:r>
      <w:r>
        <w:rPr>
          <w:rStyle w:val="a4"/>
          <w:i/>
          <w:iCs/>
          <w:sz w:val="28"/>
          <w:szCs w:val="28"/>
        </w:rPr>
        <w:t>961-АС/1</w:t>
      </w:r>
      <w:r>
        <w:rPr>
          <w:sz w:val="28"/>
          <w:szCs w:val="28"/>
        </w:rPr>
        <w:t xml:space="preserve"> </w:t>
      </w:r>
    </w:p>
    <w:p w14:paraId="488514A9" w14:textId="77777777" w:rsidR="005A6280" w:rsidRDefault="000443F0">
      <w:pPr>
        <w:pStyle w:val="a3"/>
        <w:jc w:val="center"/>
        <w:rPr>
          <w:sz w:val="28"/>
          <w:szCs w:val="28"/>
        </w:rPr>
      </w:pPr>
      <w:r>
        <w:rPr>
          <w:sz w:val="28"/>
          <w:szCs w:val="28"/>
        </w:rPr>
        <w:t>О ПРИЗНАНИИ НЕСОСТОЯВШИМИСЯ ТОРГОВ В ФОРМЕ АУКЦИОНА С ПОНИЖЕНИЕМ И ПОВЫШЕНИЕМ ЦЕНЫ</w:t>
      </w:r>
    </w:p>
    <w:p w14:paraId="347667B8" w14:textId="77777777" w:rsidR="005A6280" w:rsidRDefault="000443F0">
      <w:pPr>
        <w:pStyle w:val="a3"/>
        <w:rPr>
          <w:sz w:val="28"/>
          <w:szCs w:val="28"/>
        </w:rPr>
      </w:pPr>
      <w:r>
        <w:rPr>
          <w:rStyle w:val="a4"/>
          <w:sz w:val="28"/>
          <w:szCs w:val="28"/>
        </w:rPr>
        <w:t> </w:t>
      </w:r>
    </w:p>
    <w:p w14:paraId="3D75CCE5" w14:textId="7E08F500" w:rsidR="005A6280" w:rsidRDefault="000443F0">
      <w:pPr>
        <w:pStyle w:val="a3"/>
        <w:rPr>
          <w:sz w:val="28"/>
          <w:szCs w:val="28"/>
        </w:rPr>
      </w:pPr>
      <w:r>
        <w:rPr>
          <w:rStyle w:val="a4"/>
          <w:sz w:val="28"/>
          <w:szCs w:val="28"/>
        </w:rPr>
        <w:t xml:space="preserve">Дата подписания </w:t>
      </w:r>
      <w:r w:rsidR="004D3720">
        <w:rPr>
          <w:rStyle w:val="a4"/>
          <w:sz w:val="28"/>
          <w:szCs w:val="28"/>
        </w:rPr>
        <w:t>решения</w:t>
      </w:r>
      <w:r>
        <w:rPr>
          <w:rStyle w:val="a4"/>
          <w:sz w:val="28"/>
          <w:szCs w:val="28"/>
        </w:rPr>
        <w:t xml:space="preserve">: </w:t>
      </w:r>
      <w:r>
        <w:rPr>
          <w:rStyle w:val="a4"/>
          <w:i/>
          <w:iCs/>
          <w:sz w:val="28"/>
          <w:szCs w:val="28"/>
        </w:rPr>
        <w:t>«23» сентября 2021 г.</w:t>
      </w:r>
      <w:r>
        <w:rPr>
          <w:sz w:val="28"/>
          <w:szCs w:val="28"/>
        </w:rPr>
        <w:t xml:space="preserve"> </w:t>
      </w:r>
    </w:p>
    <w:p w14:paraId="6B4238DE" w14:textId="393E3F12" w:rsidR="005A6280" w:rsidRDefault="000443F0">
      <w:pPr>
        <w:pStyle w:val="a3"/>
        <w:rPr>
          <w:sz w:val="28"/>
          <w:szCs w:val="28"/>
        </w:rPr>
      </w:pPr>
      <w:r>
        <w:rPr>
          <w:rStyle w:val="a4"/>
          <w:sz w:val="28"/>
          <w:szCs w:val="28"/>
        </w:rPr>
        <w:t>Настоящ</w:t>
      </w:r>
      <w:r w:rsidR="004D3720">
        <w:rPr>
          <w:rStyle w:val="a4"/>
          <w:sz w:val="28"/>
          <w:szCs w:val="28"/>
        </w:rPr>
        <w:t>ее решение</w:t>
      </w:r>
      <w:r>
        <w:rPr>
          <w:rStyle w:val="a4"/>
          <w:sz w:val="28"/>
          <w:szCs w:val="28"/>
        </w:rPr>
        <w:t xml:space="preserve"> подписан</w:t>
      </w:r>
      <w:r w:rsidR="004D3720">
        <w:rPr>
          <w:rStyle w:val="a4"/>
          <w:sz w:val="28"/>
          <w:szCs w:val="28"/>
        </w:rPr>
        <w:t>о</w:t>
      </w:r>
      <w:r>
        <w:rPr>
          <w:rStyle w:val="a4"/>
          <w:sz w:val="28"/>
          <w:szCs w:val="28"/>
        </w:rPr>
        <w:t xml:space="preserve"> в подтверждение следующего:</w:t>
      </w:r>
    </w:p>
    <w:p w14:paraId="668C8805" w14:textId="77777777" w:rsidR="005A6280" w:rsidRDefault="000443F0">
      <w:pPr>
        <w:pStyle w:val="a3"/>
        <w:rPr>
          <w:sz w:val="28"/>
          <w:szCs w:val="28"/>
        </w:rPr>
      </w:pPr>
      <w:r>
        <w:rPr>
          <w:sz w:val="28"/>
          <w:szCs w:val="28"/>
          <w:u w:val="single"/>
        </w:rPr>
        <w:t>Организатор торгов:</w:t>
      </w:r>
      <w:r>
        <w:rPr>
          <w:sz w:val="28"/>
          <w:szCs w:val="28"/>
        </w:rPr>
        <w:t xml:space="preserve"> </w:t>
      </w:r>
      <w:r>
        <w:rPr>
          <w:rStyle w:val="a5"/>
          <w:b/>
          <w:bCs/>
          <w:sz w:val="28"/>
          <w:szCs w:val="28"/>
        </w:rPr>
        <w:t xml:space="preserve">Общество с ограниченной ответственностью «КОРТ» </w:t>
      </w:r>
    </w:p>
    <w:p w14:paraId="384B0CE5" w14:textId="77777777" w:rsidR="005A6280" w:rsidRDefault="000443F0">
      <w:pPr>
        <w:pStyle w:val="a3"/>
        <w:rPr>
          <w:sz w:val="28"/>
          <w:szCs w:val="28"/>
        </w:rPr>
      </w:pPr>
      <w:r>
        <w:rPr>
          <w:sz w:val="28"/>
          <w:szCs w:val="28"/>
          <w:u w:val="single"/>
        </w:rPr>
        <w:t>Продавец имущества:</w:t>
      </w:r>
      <w:r>
        <w:rPr>
          <w:sz w:val="28"/>
          <w:szCs w:val="28"/>
        </w:rPr>
        <w:t xml:space="preserve"> </w:t>
      </w:r>
      <w:r>
        <w:rPr>
          <w:rStyle w:val="a5"/>
          <w:b/>
          <w:bCs/>
          <w:sz w:val="28"/>
          <w:szCs w:val="28"/>
        </w:rPr>
        <w:t xml:space="preserve">ПАО Сбербанк </w:t>
      </w:r>
    </w:p>
    <w:p w14:paraId="323A884E" w14:textId="77777777" w:rsidR="005A6280" w:rsidRDefault="000443F0">
      <w:pPr>
        <w:pStyle w:val="a3"/>
        <w:rPr>
          <w:sz w:val="28"/>
          <w:szCs w:val="28"/>
        </w:rPr>
      </w:pPr>
      <w:r>
        <w:rPr>
          <w:sz w:val="28"/>
          <w:szCs w:val="28"/>
          <w:u w:val="single"/>
        </w:rPr>
        <w:t>Форма торгов:</w:t>
      </w:r>
      <w:r>
        <w:rPr>
          <w:sz w:val="28"/>
          <w:szCs w:val="28"/>
        </w:rPr>
        <w:t xml:space="preserve"> </w:t>
      </w:r>
      <w:r>
        <w:rPr>
          <w:rStyle w:val="a5"/>
          <w:b/>
          <w:bCs/>
          <w:sz w:val="28"/>
          <w:szCs w:val="28"/>
        </w:rPr>
        <w:t>аукцион с понижением и повышением цены</w:t>
      </w:r>
    </w:p>
    <w:p w14:paraId="0A8BED62" w14:textId="77777777" w:rsidR="005A6280" w:rsidRDefault="000443F0">
      <w:pPr>
        <w:pStyle w:val="a3"/>
        <w:rPr>
          <w:sz w:val="28"/>
          <w:szCs w:val="28"/>
        </w:rPr>
      </w:pPr>
      <w:r>
        <w:rPr>
          <w:sz w:val="28"/>
          <w:szCs w:val="28"/>
          <w:u w:val="single"/>
        </w:rPr>
        <w:t>Порядок и критерии определения победителя торгов:</w:t>
      </w:r>
      <w:r>
        <w:rPr>
          <w:sz w:val="28"/>
          <w:szCs w:val="28"/>
        </w:rPr>
        <w:t xml:space="preserve"> </w:t>
      </w:r>
      <w:r>
        <w:rPr>
          <w:rStyle w:val="a5"/>
          <w:b/>
          <w:bCs/>
          <w:sz w:val="28"/>
          <w:szCs w:val="28"/>
        </w:rPr>
        <w:t xml:space="preserve">Победителем торгов признается участник торгов, предложивший максимальную цену за имущество, являющееся предметом торгов. В случае, если не были представлены заявки на участие в торгах, к участию в торгах был допущен только один участник, либо в ходе торгов ни одним из участников торгов не было подано ценового предложения, торги признаются несостоявшимися. </w:t>
      </w:r>
    </w:p>
    <w:p w14:paraId="351E824C" w14:textId="77777777" w:rsidR="005A6280" w:rsidRDefault="000443F0">
      <w:pPr>
        <w:pStyle w:val="a3"/>
        <w:rPr>
          <w:sz w:val="28"/>
          <w:szCs w:val="28"/>
        </w:rPr>
      </w:pPr>
      <w:r>
        <w:rPr>
          <w:sz w:val="28"/>
          <w:szCs w:val="28"/>
          <w:u w:val="single"/>
        </w:rPr>
        <w:t>Место подведения итогов торгов:</w:t>
      </w:r>
      <w:r>
        <w:rPr>
          <w:sz w:val="28"/>
          <w:szCs w:val="28"/>
        </w:rPr>
        <w:t xml:space="preserve"> </w:t>
      </w:r>
      <w:r>
        <w:rPr>
          <w:rStyle w:val="a5"/>
          <w:b/>
          <w:bCs/>
          <w:sz w:val="28"/>
          <w:szCs w:val="28"/>
        </w:rPr>
        <w:t xml:space="preserve">Подведение итогов торгов осуществляется на электронной площадке «Новые информационные сервисы» (http://trade.nistp.ru/) и оформляется протоколом о результатах торгов либо решением о признании торгов несостоявшимися. </w:t>
      </w:r>
    </w:p>
    <w:p w14:paraId="6E797233" w14:textId="77777777" w:rsidR="005A6280" w:rsidRDefault="000443F0">
      <w:pPr>
        <w:pStyle w:val="a3"/>
        <w:rPr>
          <w:sz w:val="28"/>
          <w:szCs w:val="28"/>
        </w:rPr>
      </w:pPr>
      <w:r>
        <w:rPr>
          <w:rStyle w:val="a4"/>
          <w:sz w:val="28"/>
          <w:szCs w:val="28"/>
        </w:rPr>
        <w:t xml:space="preserve">Лот № </w:t>
      </w:r>
      <w:r>
        <w:rPr>
          <w:rStyle w:val="a5"/>
          <w:b/>
          <w:bCs/>
          <w:sz w:val="28"/>
          <w:szCs w:val="28"/>
        </w:rPr>
        <w:t>1</w:t>
      </w:r>
      <w:r>
        <w:rPr>
          <w:rStyle w:val="a4"/>
          <w:sz w:val="28"/>
          <w:szCs w:val="28"/>
        </w:rPr>
        <w:t>.</w:t>
      </w:r>
    </w:p>
    <w:p w14:paraId="441F1181" w14:textId="77777777" w:rsidR="005A6280" w:rsidRDefault="000443F0">
      <w:pPr>
        <w:pStyle w:val="a3"/>
        <w:rPr>
          <w:sz w:val="28"/>
          <w:szCs w:val="28"/>
        </w:rPr>
      </w:pPr>
      <w:r>
        <w:rPr>
          <w:sz w:val="28"/>
          <w:szCs w:val="28"/>
          <w:u w:val="single"/>
        </w:rPr>
        <w:t>Предмет торгов</w:t>
      </w:r>
      <w:r>
        <w:rPr>
          <w:sz w:val="28"/>
          <w:szCs w:val="28"/>
        </w:rPr>
        <w:t xml:space="preserve">: </w:t>
      </w:r>
      <w:r>
        <w:rPr>
          <w:rStyle w:val="a4"/>
          <w:i/>
          <w:iCs/>
          <w:sz w:val="28"/>
          <w:szCs w:val="28"/>
        </w:rPr>
        <w:t xml:space="preserve">Принадлежащие ПАО Сбербанк права (требования), возникшие из кредитных договоров, заключенных с ООО «Тульский пионер», ООО «Тульский купец», ООО «Хороший вкус», ООО «Юг-Маркет». </w:t>
      </w:r>
    </w:p>
    <w:p w14:paraId="76EF48D1" w14:textId="77777777" w:rsidR="005A6280" w:rsidRDefault="000443F0">
      <w:pPr>
        <w:pStyle w:val="a3"/>
        <w:rPr>
          <w:sz w:val="28"/>
          <w:szCs w:val="28"/>
        </w:rPr>
      </w:pPr>
      <w:r>
        <w:rPr>
          <w:rStyle w:val="a5"/>
          <w:b/>
          <w:bCs/>
          <w:sz w:val="28"/>
          <w:szCs w:val="28"/>
        </w:rPr>
        <w:t xml:space="preserve">Принадлежащие ПАО Сбербанк права (требования) в соответствии с перечнем: 1. Права (требования), возникшие из договоров об открытии возобновляемой кредитной линии (Далее – Кредитные договоры) №00650018/86041100/АСРМ от 19.03.2018, №02750018/86041100/АСРМ от 10.09.2018, №02760018/86041100/АСРМ от 11.09.2018, заключенных между ПАО Сбербанк и ООО «Тульский пионер» (ИНН 7134003084), а также права (требования), вытекающие из следующих договоров, заключенных в обеспечение исполнения обязательств Должника по Кредитным </w:t>
      </w:r>
      <w:r>
        <w:rPr>
          <w:rStyle w:val="a5"/>
          <w:b/>
          <w:bCs/>
          <w:sz w:val="28"/>
          <w:szCs w:val="28"/>
        </w:rPr>
        <w:lastRenderedPageBreak/>
        <w:t xml:space="preserve">договорам: - Договор ипотеки №00650018/86041100и от 04.07.2018г.; - Договор залога №00650018/86041100з1 от 19.04.2018г.; - Договор ипотеки №02750018/86041100/и1 от 05.10.2018г.; - Договор залога №02750018/86041100/з1 от 05.10.2018г.; - Договор залога №02750018/86041100/з2 от 19.12.2018г.; - Договор залога №02750018/86041100/з3 от 19.12.2018г.; - Договора поручительства №00650018/86041100п1 от 19.03.2018г.; - Договора поручительства № 00650018/86041100п3 от 19.03.2018г.; - Договора поручительства №00650018/86041100п4 от 09.09.2019г.; - Договора поручительства №00650018/86041100п5 от 09.09.2019г.; - Договора поручительства № 00650018/86041100п6 от 09.09.2019г.; - Договора поручительства № 02750018/86041100п4 от 18.09.2018г.; - Договора поручительства № 02750018/86041100п2 от 18.09.2018г.; - Договора поручительства №02750018/86041100п от 18.09.2018г.; - Договора поручительства № 02750018/86041100п3 от 18.09.2018г.; - Договора поручительства №02750018/86041100п6 от 30.09.2019г.; - Договора поручительства № 02760018/86041100п4 от 18.09.2018г.; - Договора поручительства № 02760018/86041100п2 от 18.09.2018г.; - Договора поручительства №02760018/86041100п от 18.09.2018г.; - Договора поручительства №02760018/86041100п3 от 18.09.2018г.; - Договора поручительства №02760018/86041100п6 от 30.09.2019г. 2. Права (требования), возникшие из договоров об открытии возобновляемой кредитной линии №01810019/86041100/АСРМ от 16.08.2019, №01820019/86041100/АСРМ от 16.08.2019, заключенных между ПАО Сбербанк и ООО «Тульский купец» (ИНН 5032196281), а также права (требования), вытекающие из следующих договоров, заключенных в обеспечение исполнения обязательств Должника по Кредитным договорам: - Договор ипотеки №01810019/86041100и1 от 08.11.2019г.; - Договор ипотеки №01810019/86041100/и2 от 08.11.2019г.; - Договор залога №01810019/86041100/з2 от 16.09.2019г.; - Договор залога №01810019/86041100/з1 от 16.09.2019г.; - Договор поручительства №01810019/86041100п от 16.08.2019г.; - Договор поручительства №01810019/86041100п1 от 28.08.2019г.; - Договор поручительства №01810019/86041100п6 от 28.08.2019г.; - Договор поручительства №01810019/86041100п3 от 28.08.2019г.; - Договор поручительства № 01810019/86041100п4 от 28.08.2019г.; - Договор поручительства №01810019/86041100п5 от 28.08.2019г.; - Договор поручительства №01820019/86041100п от 16.08.2019г.; - Договор поручительства №01820019/86041100п1 от 28.08.2019г.; - Договор поручительства №01820019/86041100п2 от 28.08.2019г.; - Договор поручительства №01820019/86041100п3 от 28.08.2019г.; - Договор поручительства № 01820019/86041100п4 от 28.08.2019г.; - Договор поручительства №01820019/86041100п5 от 28.08.2019г. 3. Права (требования), возникшие из договоров об открытии возобновляемой кредитной линии №00250020/86041100/АСРМ от 05.02.2020, №02670019/86041100/АСРМ от </w:t>
      </w:r>
      <w:r>
        <w:rPr>
          <w:rStyle w:val="a5"/>
          <w:b/>
          <w:bCs/>
          <w:sz w:val="28"/>
          <w:szCs w:val="28"/>
        </w:rPr>
        <w:lastRenderedPageBreak/>
        <w:t xml:space="preserve">30.10.2019, заключенных между ПАО Сбербанк и ООО «Хороший вкус» (ИНН 4027136775), а также права (требования), вытекающие из следующих договоров, заключенных в обеспечение исполнения обязательств Должника по Кредитным договорам: - Договор ипотеки №00250020/86041100и1 от 13.03.2020г.; - Договор поручительства №00250020/86041100п1 от 18.02.2020г.; - Договор поручительства №00250020/86041100п2 от 03.03.2020г.; - Договор поручительства №00250020/86041100п3 от 03.03.2020г.; - Договор поручительства № 00250020/86041100п5 от 03.03.2020г.; - Договор поручительства № 00250020/86041100п4 от 03.03.2020г.; - Договор поручительства №02670019/86041100п5 от 12.11.2019г.; - Договор поручительства №02670019/86041100п1 от 13.11.2019г.; - Договор поручительства №02670019/86041100п2 от 13.11.2019г.; - Договор поручительства № 02670019/86041100п4 от 13.11.2019г.; - Договор поручительства №02670019/86041100п3 от 12.11.2019г. 4. Права (требования), возникшие из договоров об открытии возобновляемой кредитной линии №02160019/860411100/АСРМ от 23.09.2019, №03200019/86041100/АСРМ от 27.12.2019, заключенных между ПАО Сбербанк и ООО «Юг-маркет» (ИНН 7118020607), а также права (требования), вытекающие из следующих договоров, заключенных в обеспечение исполнения обязательств Должника по Кредитным договорам: - Договор залога № 02160019/860411100/з1 от 23.10.2019г.; - Договор ипотеки № 02160019/860411100/и1 от 08.11.2019г.; - Договор ипотеки №02160019/860411100/и2 от 08.11.2019г.; - Договор залога №02160019/860411100/з2 от 23.09.2019г.; - Договор поручительства №02160019/860411100п от 03.10.2019г.; - Договор поручительства №02160019/860411100п1 от 03.10.2019г.; - Договор поручительства №02160019/860411100п2 от 03.10.2019г.; - Договор поручительства №02160019/860411100п3 от 03.10.2019г.; - Договор поручительства №02160019/860411100п4 от 03.10.2019г.; - Договор поручительства № 02160019/860411100п5 от 03.10.2019г.; - Договор ипотеки №03200019/86041100и1 от 13.02.2020г.; - Договор поручительства №03200019/86041100п от 13.01.2020г.; - Договор поручительства №03200019/86041100п1 от 13.01.2020г.; - Договор поручительства №03200019/86041100п2 от 13.01.2020г.; - Договор поручительства №03200019/86041100п3 от 13.01.2020г.; - Договор поручительства № 03200019/86041100п4 от 13.01.2020г. 5. Права (требования), установленные вступившими в силу судебными актами в части взыскания судебных расходов/издержек (государственная пошлина и иные), уплаченных Банком в рамках взыскания задолженности. Цедент гарантирует, что предмет торгов никому не продан, не обременен правами третьих лиц. Общая сумма уступаемых прав (требований) определяется исходя из суммы обязательств по Кредитным договорам, указанным в п. 1-4 настоящего извещения, и составляет всего 391 518 235,06 (Триста девяносто один миллион пятьсот восемнадцать тысяч </w:t>
      </w:r>
      <w:r>
        <w:rPr>
          <w:rStyle w:val="a5"/>
          <w:b/>
          <w:bCs/>
          <w:sz w:val="28"/>
          <w:szCs w:val="28"/>
        </w:rPr>
        <w:lastRenderedPageBreak/>
        <w:t xml:space="preserve">двести тридцать пять) рублей 06 копеек, из которых: - основной долг (просроченный) 381 322 460 (Триста восемьдесят один миллион триста двадцать две тысячи четыреста шестьдесят) рублей 80 копеек; - просроченные проценты 8 786 229 (Восемь миллионов семьсот восемьдесят шесть тысяч двести двадцать девять) рублей 55 копеек; - неустойки 1 409 544 (Один миллион четыреста девять тысяч пятьсот сорок четыре) рубля 71 копейка. Права (требования) в части взыскания судебных издержек (госпошлин и пр.), указанные в п. 5 настоящего извещения, составляют сумму 108 000 (Сто восемь тысяч) рублей. Окончательная сумма уступаемой задолженности будет определена на дату заключения договора цессии. Определением Арбитражного суда Тульской области от 18.03.2021 (резолютивная часть от 11.03.2021) по делу № А68-13003/2020 в отношении ООО «Тульский пионер» введена процедура наблюдения. Определением Арбитражного суда Московской области от 05.03.2021 по делу № А41-1071/21 в отношении ООО «Тульский купец» введена процедура наблюдения. Определением Арбитражного суда Калужской области от 31.03.2021 (резолютивная часть от 23.03.2021) по делу № А23-10084/2020 в отношении ООО «Хороший вкус» введена процедура наблюдения. Определением Арбитражного суда Тульской области от 18.03.2021 (резолютивная часть от 11.03.2021) по делу № А68-13255/2020 в отношении ООО «Юг-Маркет» введена процедура наблюдения. </w:t>
      </w:r>
    </w:p>
    <w:p w14:paraId="54C97AA7" w14:textId="77777777" w:rsidR="005A6280" w:rsidRDefault="000443F0">
      <w:pPr>
        <w:pStyle w:val="a3"/>
        <w:rPr>
          <w:sz w:val="28"/>
          <w:szCs w:val="28"/>
        </w:rPr>
      </w:pPr>
      <w:r>
        <w:rPr>
          <w:sz w:val="28"/>
          <w:szCs w:val="28"/>
          <w:u w:val="single"/>
        </w:rPr>
        <w:t>Начальная цена лота</w:t>
      </w:r>
      <w:r>
        <w:rPr>
          <w:rStyle w:val="a4"/>
          <w:i/>
          <w:iCs/>
          <w:sz w:val="28"/>
          <w:szCs w:val="28"/>
        </w:rPr>
        <w:t xml:space="preserve">: 391518235.06 </w:t>
      </w:r>
      <w:r>
        <w:rPr>
          <w:sz w:val="28"/>
          <w:szCs w:val="28"/>
        </w:rPr>
        <w:t>рублей (НДС не облагается).</w:t>
      </w:r>
    </w:p>
    <w:p w14:paraId="507334E7" w14:textId="77777777" w:rsidR="005A6280" w:rsidRDefault="000443F0">
      <w:pPr>
        <w:pStyle w:val="a3"/>
        <w:rPr>
          <w:sz w:val="28"/>
          <w:szCs w:val="28"/>
        </w:rPr>
      </w:pPr>
      <w:r>
        <w:rPr>
          <w:sz w:val="28"/>
          <w:szCs w:val="28"/>
        </w:rPr>
        <w:t>В соответствии с протоколом № 961-АС/1 об определении участников торгов в форме аукциона с понижением и повышением цены от «23» сентября 2021 г. участником торгов является следующее лицо (далее – Участник торгов):</w:t>
      </w:r>
    </w:p>
    <w:p w14:paraId="6EC172C2" w14:textId="77777777" w:rsidR="005A6280" w:rsidRDefault="000443F0">
      <w:pPr>
        <w:numPr>
          <w:ilvl w:val="0"/>
          <w:numId w:val="2"/>
        </w:numPr>
        <w:spacing w:before="100" w:beforeAutospacing="1" w:after="100" w:afterAutospacing="1"/>
        <w:rPr>
          <w:rFonts w:eastAsia="Times New Roman"/>
          <w:sz w:val="28"/>
          <w:szCs w:val="28"/>
        </w:rPr>
      </w:pPr>
      <w:r>
        <w:rPr>
          <w:rFonts w:eastAsia="Times New Roman"/>
          <w:sz w:val="28"/>
          <w:szCs w:val="28"/>
        </w:rPr>
        <w:t xml:space="preserve">Общество с ограниченной ответственностью «Колос» (301582, Тульская область, Воловский район, д. Сухие Плоты, ул. Героя Матюхина, д.5; ИНН:7124058969; ОГРН:1057101790240) </w:t>
      </w:r>
    </w:p>
    <w:p w14:paraId="0E5C6B73" w14:textId="77777777" w:rsidR="005A6280" w:rsidRDefault="000443F0">
      <w:pPr>
        <w:pStyle w:val="a3"/>
        <w:rPr>
          <w:sz w:val="28"/>
          <w:szCs w:val="28"/>
        </w:rPr>
      </w:pPr>
      <w:r>
        <w:rPr>
          <w:sz w:val="28"/>
          <w:szCs w:val="28"/>
        </w:rPr>
        <w:t>В связи с тем, что на участие в торгах допущен только один участник, организатором торгов принято решение о признании торгов несостоявшимися.</w:t>
      </w:r>
    </w:p>
    <w:p w14:paraId="0A92CEB5" w14:textId="77777777" w:rsidR="005A6280" w:rsidRDefault="000443F0">
      <w:pPr>
        <w:pStyle w:val="a3"/>
        <w:rPr>
          <w:sz w:val="28"/>
          <w:szCs w:val="28"/>
        </w:rPr>
      </w:pPr>
      <w:r>
        <w:rPr>
          <w:sz w:val="28"/>
          <w:szCs w:val="28"/>
        </w:rPr>
        <w:t>Организатор торгов</w:t>
      </w:r>
    </w:p>
    <w:p w14:paraId="3D10A482" w14:textId="77777777" w:rsidR="005A6280" w:rsidRDefault="000443F0">
      <w:pPr>
        <w:pStyle w:val="a3"/>
        <w:rPr>
          <w:sz w:val="28"/>
          <w:szCs w:val="28"/>
        </w:rPr>
      </w:pPr>
      <w:r>
        <w:rPr>
          <w:rStyle w:val="a5"/>
          <w:b/>
          <w:bCs/>
          <w:sz w:val="28"/>
          <w:szCs w:val="28"/>
        </w:rPr>
        <w:t>Общество с ограниченной ответственностью «КОРТ»</w:t>
      </w:r>
    </w:p>
    <w:p w14:paraId="4283F641" w14:textId="77777777" w:rsidR="000443F0" w:rsidRDefault="000443F0">
      <w:pPr>
        <w:pStyle w:val="a3"/>
        <w:rPr>
          <w:sz w:val="28"/>
          <w:szCs w:val="28"/>
        </w:rPr>
      </w:pPr>
      <w:r>
        <w:rPr>
          <w:sz w:val="28"/>
          <w:szCs w:val="28"/>
        </w:rPr>
        <w:t xml:space="preserve">__________________________ </w:t>
      </w:r>
    </w:p>
    <w:sectPr w:rsidR="00044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32E7B"/>
    <w:multiLevelType w:val="multilevel"/>
    <w:tmpl w:val="ABA8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20"/>
    <w:rsid w:val="000443F0"/>
    <w:rsid w:val="004D3720"/>
    <w:rsid w:val="005A6280"/>
    <w:rsid w:val="00A3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FE4FA"/>
  <w15:chartTrackingRefBased/>
  <w15:docId w15:val="{E8AC7151-8EE8-47C1-93F3-E559F5D1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8369</Characters>
  <Application>Microsoft Office Word</Application>
  <DocSecurity>4</DocSecurity>
  <Lines>69</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subject/>
  <dc:creator>Рязанова Анна Александровна</dc:creator>
  <cp:keywords/>
  <dc:description/>
  <cp:lastModifiedBy>Лебедев Роман Олегович</cp:lastModifiedBy>
  <cp:revision>2</cp:revision>
  <dcterms:created xsi:type="dcterms:W3CDTF">2021-09-23T11:30:00Z</dcterms:created>
  <dcterms:modified xsi:type="dcterms:W3CDTF">2021-09-23T11:30:00Z</dcterms:modified>
</cp:coreProperties>
</file>