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0556CA1E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326AFF">
        <w:rPr>
          <w:sz w:val="20"/>
          <w:szCs w:val="20"/>
        </w:rPr>
        <w:t>Ассет</w:t>
      </w:r>
      <w:proofErr w:type="spellEnd"/>
      <w:r w:rsidRPr="00326AFF">
        <w:rPr>
          <w:sz w:val="20"/>
          <w:szCs w:val="20"/>
        </w:rPr>
        <w:t xml:space="preserve"> Менеджмент»</w:t>
      </w:r>
      <w:r w:rsidR="00E03178" w:rsidRPr="00326AFF">
        <w:rPr>
          <w:sz w:val="20"/>
          <w:szCs w:val="20"/>
        </w:rPr>
        <w:t>, действующее</w:t>
      </w:r>
      <w:r w:rsidRPr="00326AFF">
        <w:rPr>
          <w:sz w:val="20"/>
          <w:szCs w:val="20"/>
        </w:rPr>
        <w:t xml:space="preserve"> от</w:t>
      </w:r>
      <w:r w:rsidR="001327AA" w:rsidRPr="00326AFF">
        <w:rPr>
          <w:sz w:val="20"/>
          <w:szCs w:val="20"/>
        </w:rPr>
        <w:t xml:space="preserve"> своего</w:t>
      </w:r>
      <w:r w:rsidRPr="00326AFF">
        <w:rPr>
          <w:sz w:val="20"/>
          <w:szCs w:val="20"/>
        </w:rPr>
        <w:t xml:space="preserve"> и</w:t>
      </w:r>
      <w:r w:rsidR="001B57E0" w:rsidRPr="00326AFF">
        <w:rPr>
          <w:sz w:val="20"/>
          <w:szCs w:val="20"/>
        </w:rPr>
        <w:t xml:space="preserve">мени, за счет и по поручению </w:t>
      </w:r>
      <w:r w:rsidR="00BC7022">
        <w:rPr>
          <w:sz w:val="20"/>
          <w:szCs w:val="20"/>
        </w:rPr>
        <w:t>ПАО Сбербанк</w:t>
      </w:r>
      <w:r w:rsidR="00E11D80" w:rsidRPr="00326AFF">
        <w:rPr>
          <w:sz w:val="20"/>
          <w:szCs w:val="20"/>
        </w:rPr>
        <w:t xml:space="preserve"> (Далее – </w:t>
      </w:r>
      <w:r w:rsidR="00E11D80" w:rsidRPr="00326AFF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326AFF">
        <w:rPr>
          <w:rFonts w:eastAsia="Calibri"/>
          <w:bCs/>
          <w:sz w:val="20"/>
          <w:szCs w:val="20"/>
          <w:lang w:eastAsia="en-US"/>
        </w:rPr>
        <w:t>,</w:t>
      </w:r>
      <w:r w:rsidR="00100B36" w:rsidRPr="00326AFF">
        <w:rPr>
          <w:rFonts w:eastAsia="Calibri"/>
          <w:bCs/>
          <w:lang w:eastAsia="en-US"/>
        </w:rPr>
        <w:t xml:space="preserve"> </w:t>
      </w:r>
      <w:r w:rsidRPr="00326AFF">
        <w:rPr>
          <w:sz w:val="20"/>
          <w:szCs w:val="20"/>
        </w:rPr>
        <w:t>в лице генерального директора</w:t>
      </w:r>
      <w:r w:rsidR="006B2598" w:rsidRPr="00326AFF">
        <w:rPr>
          <w:sz w:val="20"/>
          <w:szCs w:val="20"/>
        </w:rPr>
        <w:t xml:space="preserve"> </w:t>
      </w:r>
      <w:r w:rsidR="00326AFF" w:rsidRPr="00326AFF">
        <w:rPr>
          <w:sz w:val="20"/>
          <w:szCs w:val="20"/>
        </w:rPr>
        <w:t>Ершова Я. Ю.</w:t>
      </w:r>
      <w:r w:rsidRPr="00326AFF">
        <w:rPr>
          <w:sz w:val="20"/>
          <w:szCs w:val="20"/>
        </w:rPr>
        <w:t>, действующ</w:t>
      </w:r>
      <w:r w:rsidR="00185382" w:rsidRPr="00326AFF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05ED56A4" w:rsidR="00582108" w:rsidRPr="004C4E74" w:rsidRDefault="000A3CDF" w:rsidP="00897ADD">
      <w:pPr>
        <w:pStyle w:val="a5"/>
        <w:spacing w:before="0" w:line="240" w:lineRule="auto"/>
        <w:jc w:val="both"/>
        <w:rPr>
          <w:b/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 w:rsidRPr="00474267">
        <w:rPr>
          <w:sz w:val="20"/>
          <w:szCs w:val="20"/>
        </w:rPr>
        <w:t xml:space="preserve">1.2.  </w:t>
      </w:r>
      <w:r w:rsidRPr="00474267">
        <w:rPr>
          <w:sz w:val="20"/>
          <w:szCs w:val="20"/>
        </w:rPr>
        <w:t xml:space="preserve">Задаток вносится в счет оплаты </w:t>
      </w:r>
      <w:r w:rsidR="00E11D80" w:rsidRPr="00474267">
        <w:rPr>
          <w:sz w:val="20"/>
          <w:szCs w:val="20"/>
        </w:rPr>
        <w:t>имущества, выставленного на торги</w:t>
      </w:r>
      <w:r w:rsidR="007C1A13" w:rsidRPr="00474267">
        <w:rPr>
          <w:sz w:val="20"/>
          <w:szCs w:val="20"/>
        </w:rPr>
        <w:t xml:space="preserve"> </w:t>
      </w:r>
      <w:r w:rsidR="007C1A13" w:rsidRPr="00474267">
        <w:rPr>
          <w:b/>
          <w:sz w:val="20"/>
          <w:szCs w:val="20"/>
        </w:rPr>
        <w:t>в</w:t>
      </w:r>
      <w:r w:rsidR="00E11D80" w:rsidRPr="00474267">
        <w:rPr>
          <w:b/>
          <w:sz w:val="20"/>
          <w:szCs w:val="20"/>
        </w:rPr>
        <w:t xml:space="preserve"> </w:t>
      </w:r>
      <w:r w:rsidR="00BC7022" w:rsidRPr="00474267">
        <w:rPr>
          <w:b/>
          <w:sz w:val="20"/>
          <w:szCs w:val="20"/>
        </w:rPr>
        <w:t xml:space="preserve">размере </w:t>
      </w:r>
      <w:r w:rsidR="00474267" w:rsidRPr="00474267">
        <w:rPr>
          <w:b/>
          <w:sz w:val="20"/>
          <w:szCs w:val="20"/>
        </w:rPr>
        <w:t>476</w:t>
      </w:r>
      <w:r w:rsidR="00474267" w:rsidRPr="00474267">
        <w:rPr>
          <w:b/>
          <w:sz w:val="20"/>
          <w:szCs w:val="20"/>
        </w:rPr>
        <w:t> </w:t>
      </w:r>
      <w:r w:rsidR="00474267" w:rsidRPr="00474267">
        <w:rPr>
          <w:b/>
          <w:sz w:val="20"/>
          <w:szCs w:val="20"/>
        </w:rPr>
        <w:t>780</w:t>
      </w:r>
      <w:r w:rsidR="00474267" w:rsidRPr="00474267">
        <w:t xml:space="preserve"> </w:t>
      </w:r>
      <w:r w:rsidR="00B25202" w:rsidRPr="00474267">
        <w:rPr>
          <w:b/>
          <w:sz w:val="20"/>
          <w:szCs w:val="20"/>
        </w:rPr>
        <w:t>рублей</w:t>
      </w:r>
      <w:r w:rsidR="007C1A13" w:rsidRPr="00474267">
        <w:rPr>
          <w:b/>
          <w:sz w:val="20"/>
          <w:szCs w:val="20"/>
        </w:rPr>
        <w:t>,</w:t>
      </w:r>
      <w:bookmarkStart w:id="0" w:name="_GoBack"/>
      <w:bookmarkEnd w:id="0"/>
      <w:r w:rsidR="007C1A13" w:rsidRPr="004C4E74">
        <w:rPr>
          <w:b/>
          <w:sz w:val="20"/>
          <w:szCs w:val="20"/>
        </w:rPr>
        <w:t xml:space="preserve"> НДС не облагается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379BFC5D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326AFF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267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26AFF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4267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C4E74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C6FBF"/>
    <w:rsid w:val="00BC7022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91D5-A6EB-4324-976A-CCF0BEE2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Administrator</cp:lastModifiedBy>
  <cp:revision>39</cp:revision>
  <cp:lastPrinted>2019-10-23T14:18:00Z</cp:lastPrinted>
  <dcterms:created xsi:type="dcterms:W3CDTF">2019-03-07T12:38:00Z</dcterms:created>
  <dcterms:modified xsi:type="dcterms:W3CDTF">2023-05-22T10:49:00Z</dcterms:modified>
</cp:coreProperties>
</file>